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7A18" w:rsidRDefault="00C66FF2">
      <w:pPr>
        <w:pStyle w:val="a5"/>
        <w:jc w:val="right"/>
      </w:pPr>
      <w:r>
        <w:t xml:space="preserve">Общество с ограниченной ответственностью </w:t>
      </w:r>
    </w:p>
    <w:p w:rsidR="005F7A18" w:rsidRDefault="00C66FF2">
      <w:pPr>
        <w:pStyle w:val="a5"/>
        <w:jc w:val="right"/>
      </w:pPr>
      <w:r>
        <w:t>«МАТОРИН-Региональная управляющая компания»</w:t>
      </w:r>
    </w:p>
    <w:p w:rsidR="005F7A18" w:rsidRDefault="005F7A18">
      <w:pPr>
        <w:pStyle w:val="a5"/>
        <w:jc w:val="right"/>
      </w:pPr>
    </w:p>
    <w:p w:rsidR="005F7A18" w:rsidRDefault="00B513D0">
      <w:pPr>
        <w:pStyle w:val="a5"/>
        <w:jc w:val="right"/>
      </w:pPr>
      <w:r>
        <w:t xml:space="preserve">141207, </w:t>
      </w:r>
      <w:r w:rsidR="00C66FF2">
        <w:t xml:space="preserve">Московская область, г. Пушкино, </w:t>
      </w:r>
    </w:p>
    <w:p w:rsidR="005F7A18" w:rsidRDefault="00C66FF2">
      <w:pPr>
        <w:pStyle w:val="a5"/>
        <w:jc w:val="right"/>
      </w:pPr>
      <w:r>
        <w:t>Московский проспект, д.2</w:t>
      </w:r>
    </w:p>
    <w:p w:rsidR="005F7A18" w:rsidRDefault="005F7A18">
      <w:pPr>
        <w:pStyle w:val="a5"/>
        <w:jc w:val="right"/>
      </w:pPr>
    </w:p>
    <w:p w:rsidR="005F7A18" w:rsidRDefault="005F7A18">
      <w:pPr>
        <w:pStyle w:val="a5"/>
        <w:jc w:val="right"/>
      </w:pPr>
    </w:p>
    <w:p w:rsidR="005F7A18" w:rsidRDefault="005F7A18">
      <w:pPr>
        <w:pStyle w:val="a5"/>
        <w:jc w:val="right"/>
      </w:pPr>
    </w:p>
    <w:p w:rsidR="005F7A18" w:rsidRDefault="00C66FF2">
      <w:pPr>
        <w:pStyle w:val="a5"/>
      </w:pPr>
      <w:r>
        <w:t>От лица собственников МФК «Фили Град» хотелось бы выразить благодарность ООО «МА</w:t>
      </w:r>
      <w:r>
        <w:t>ТОРИН-</w:t>
      </w:r>
      <w:r>
        <w:t>РУК»</w:t>
      </w:r>
      <w:r>
        <w:t xml:space="preserve"> за подробный и содержательный ответ </w:t>
      </w:r>
      <w:r>
        <w:t xml:space="preserve">(№РУК-2016-158 от 26.07.2016г.) </w:t>
      </w:r>
      <w:r>
        <w:t>на наше коллективное обращение. Надеемся на дальнейший конструктивный диалог, который позволит достичь необходимой ясности в интересующих жителей вопросах.</w:t>
      </w:r>
    </w:p>
    <w:p w:rsidR="005F7A18" w:rsidRDefault="00C66FF2">
      <w:pPr>
        <w:pStyle w:val="a5"/>
      </w:pPr>
      <w:r>
        <w:t>Мы внимательно ознакомились с е</w:t>
      </w:r>
      <w:r>
        <w:t xml:space="preserve">го содержанием и отдельные аспекты вызвали ряд вопросов. Будем признательны за более подробное разъяснение положений, касающихся включения НДС в стоимость платы за содержание и текущий ремонт общего имущества. </w:t>
      </w:r>
    </w:p>
    <w:p w:rsidR="005F7A18" w:rsidRDefault="00C66FF2">
      <w:pPr>
        <w:pStyle w:val="a5"/>
      </w:pPr>
      <w:r>
        <w:t xml:space="preserve">Согласно </w:t>
      </w:r>
      <w:proofErr w:type="gramStart"/>
      <w:r>
        <w:t>информации</w:t>
      </w:r>
      <w:proofErr w:type="gramEnd"/>
      <w:r>
        <w:t xml:space="preserve"> в п.4 ответа, размер плат</w:t>
      </w:r>
      <w:r>
        <w:t xml:space="preserve">ы установлен в размере 50,74 рублей за 1 </w:t>
      </w:r>
      <w:proofErr w:type="spellStart"/>
      <w:r>
        <w:t>кв.м</w:t>
      </w:r>
      <w:proofErr w:type="spellEnd"/>
      <w:r>
        <w:t>. площади квартир</w:t>
      </w:r>
      <w:r w:rsidRPr="00B513D0">
        <w:t>/</w:t>
      </w:r>
      <w:r>
        <w:t xml:space="preserve">апартаментов в месяц (вкл. НДС 18%) и 1500 рублей за 1 </w:t>
      </w:r>
      <w:proofErr w:type="spellStart"/>
      <w:r>
        <w:t>машиноместо</w:t>
      </w:r>
      <w:proofErr w:type="spellEnd"/>
      <w:r>
        <w:t xml:space="preserve"> в месяц (вкл. НДС 18%). </w:t>
      </w:r>
    </w:p>
    <w:p w:rsidR="005F7A18" w:rsidRDefault="00C66FF2">
      <w:pPr>
        <w:pStyle w:val="a5"/>
      </w:pPr>
      <w:r>
        <w:t xml:space="preserve">Далее в п.11 содержится ссылка на п.30 ст.149 НК РФ и указано, что подрядные организации, являющиеся </w:t>
      </w:r>
      <w:r>
        <w:t xml:space="preserve">поставщиками услуг и контрагентами ООО «МАТОРИН-РУК», не отвечают указанным в п.30 ст. 149 критериям и «являются налогоплательщиками налога на добавленную стоимость». В связи с этим просим пояснить следующее. </w:t>
      </w:r>
    </w:p>
    <w:p w:rsidR="005F7A18" w:rsidRDefault="00C66FF2">
      <w:pPr>
        <w:pStyle w:val="a5"/>
      </w:pPr>
      <w:r>
        <w:t>Согласно пп.29 пункта 3 ст.149 НК РФ от уплаты</w:t>
      </w:r>
      <w:r>
        <w:t xml:space="preserve"> НДС освобождается реализация коммунальных услуг, предоставляемых среди прочего управляющими организациями, ТСЖ, ЖСК, ЖК и иными СПК, отвечающими за обслуживание инженерных систем, с использованием которых предоставляются услуги, при условии приобретения к</w:t>
      </w:r>
      <w:r>
        <w:t xml:space="preserve">оммунальных услуг указанными налогоплательщиками у организаций коммунального комплекса, поставщиков электрической энергии, газоснабжающих организаций, организаций, осуществляющих горячее, холодное водоснабжение и водоотведение. </w:t>
      </w:r>
    </w:p>
    <w:p w:rsidR="005F7A18" w:rsidRDefault="00C66FF2">
      <w:pPr>
        <w:pStyle w:val="a5"/>
      </w:pPr>
      <w:r>
        <w:t>Подпункт 30 п.3 ст.149, про</w:t>
      </w:r>
      <w:r>
        <w:t xml:space="preserve">цитированный в п.11 Вашего ответа, содержит аналогичную норму по освобождению от уплаты НДС в отношении работ (услуг) по содержанию и ремонту общего имущества в многоквартирном доме, выполняемых управляющими </w:t>
      </w:r>
      <w:proofErr w:type="gramStart"/>
      <w:r>
        <w:t>организациями  и</w:t>
      </w:r>
      <w:proofErr w:type="gramEnd"/>
      <w:r>
        <w:t xml:space="preserve"> иными перечисленными в статье л</w:t>
      </w:r>
      <w:r>
        <w:t xml:space="preserve">ицами при условии приобретения работ или услуг у организаций, непосредственно выполняющих такие работы и оказывающих такие услуги. </w:t>
      </w:r>
    </w:p>
    <w:p w:rsidR="005F7A18" w:rsidRDefault="00C66FF2">
      <w:pPr>
        <w:pStyle w:val="a6"/>
        <w:ind w:firstLine="1134"/>
        <w:jc w:val="both"/>
      </w:pPr>
      <w:r>
        <w:t>П</w:t>
      </w:r>
      <w:r>
        <w:t xml:space="preserve">унктом 4 </w:t>
      </w:r>
      <w:r>
        <w:t xml:space="preserve">ст. 154 Жилищного кодекса установлено, </w:t>
      </w:r>
      <w:r>
        <w:t>что плата за коммунальные услуги включает в себя плату за холодное и горяче</w:t>
      </w:r>
      <w:r>
        <w:t>е водоснабжение</w:t>
      </w:r>
      <w:r>
        <w:t xml:space="preserve">, </w:t>
      </w:r>
      <w:r>
        <w:t>водоотведение</w:t>
      </w:r>
      <w:r>
        <w:t xml:space="preserve">, </w:t>
      </w:r>
      <w:r>
        <w:t>электроснабжение</w:t>
      </w:r>
      <w:r>
        <w:t xml:space="preserve">, </w:t>
      </w:r>
      <w:r>
        <w:t xml:space="preserve">газоснабжение </w:t>
      </w:r>
      <w:r>
        <w:t>(</w:t>
      </w:r>
      <w:r>
        <w:t>в том числе поставки бытового газа в баллонах</w:t>
      </w:r>
      <w:r>
        <w:t xml:space="preserve">), </w:t>
      </w:r>
      <w:r>
        <w:t xml:space="preserve">отопление </w:t>
      </w:r>
      <w:r>
        <w:t>(</w:t>
      </w:r>
      <w:r>
        <w:t>теплоснабжение</w:t>
      </w:r>
      <w:r>
        <w:t xml:space="preserve">, </w:t>
      </w:r>
      <w:r>
        <w:t>в том числе поставки твердого топлива при наличии печного отопления</w:t>
      </w:r>
      <w:r>
        <w:t>).</w:t>
      </w:r>
      <w:r>
        <w:t xml:space="preserve"> </w:t>
      </w:r>
    </w:p>
    <w:p w:rsidR="005F7A18" w:rsidRDefault="00C66FF2">
      <w:pPr>
        <w:pStyle w:val="a6"/>
        <w:ind w:firstLine="1134"/>
        <w:jc w:val="both"/>
      </w:pPr>
      <w:r>
        <w:t>Согласно</w:t>
      </w:r>
      <w:r>
        <w:t xml:space="preserve"> пункту 1 </w:t>
      </w:r>
      <w:r>
        <w:t xml:space="preserve">ст. 2 </w:t>
      </w:r>
      <w:r>
        <w:t>Федерального закона о</w:t>
      </w:r>
      <w:r>
        <w:t xml:space="preserve">т </w:t>
      </w:r>
      <w:r>
        <w:t xml:space="preserve">30.12.2004 N 210-ФЗ </w:t>
      </w:r>
      <w:r>
        <w:t xml:space="preserve">" Об основах регулирования тарифов организацией коммунального комплекса является  </w:t>
      </w:r>
      <w:r w:rsidRPr="00B513D0">
        <w:t>«</w:t>
      </w:r>
      <w:r>
        <w:rPr>
          <w:i/>
          <w:iCs/>
        </w:rPr>
        <w:t>юридическое лицо независимо от его организационно</w:t>
      </w:r>
      <w:r>
        <w:rPr>
          <w:i/>
          <w:iCs/>
        </w:rPr>
        <w:t>-</w:t>
      </w:r>
      <w:r>
        <w:rPr>
          <w:i/>
          <w:iCs/>
        </w:rPr>
        <w:t>правовой формы</w:t>
      </w:r>
      <w:r>
        <w:rPr>
          <w:i/>
          <w:iCs/>
        </w:rPr>
        <w:t xml:space="preserve">, </w:t>
      </w:r>
      <w:r>
        <w:rPr>
          <w:i/>
          <w:iCs/>
        </w:rPr>
        <w:t xml:space="preserve">осуществляющее эксплуатацию системы </w:t>
      </w:r>
      <w:r>
        <w:rPr>
          <w:i/>
          <w:iCs/>
        </w:rPr>
        <w:t xml:space="preserve">(систем) </w:t>
      </w:r>
      <w:r>
        <w:rPr>
          <w:i/>
          <w:iCs/>
        </w:rPr>
        <w:t>коммунальной инфраструктуры</w:t>
      </w:r>
      <w:r>
        <w:rPr>
          <w:i/>
          <w:iCs/>
        </w:rPr>
        <w:t xml:space="preserve">, </w:t>
      </w:r>
      <w:r>
        <w:rPr>
          <w:i/>
          <w:iCs/>
        </w:rPr>
        <w:t>используемо</w:t>
      </w:r>
      <w:r>
        <w:rPr>
          <w:i/>
          <w:iCs/>
        </w:rPr>
        <w:t xml:space="preserve">й </w:t>
      </w:r>
      <w:r>
        <w:rPr>
          <w:i/>
          <w:iCs/>
        </w:rPr>
        <w:t>(</w:t>
      </w:r>
      <w:r>
        <w:rPr>
          <w:i/>
          <w:iCs/>
        </w:rPr>
        <w:t>используемых</w:t>
      </w:r>
      <w:r>
        <w:rPr>
          <w:i/>
          <w:iCs/>
        </w:rPr>
        <w:t xml:space="preserve">) </w:t>
      </w:r>
      <w:r>
        <w:rPr>
          <w:i/>
          <w:iCs/>
        </w:rPr>
        <w:t xml:space="preserve">для производства товаров </w:t>
      </w:r>
      <w:r>
        <w:rPr>
          <w:i/>
          <w:iCs/>
        </w:rPr>
        <w:t>(</w:t>
      </w:r>
      <w:r>
        <w:rPr>
          <w:i/>
          <w:iCs/>
        </w:rPr>
        <w:t>оказания услуг</w:t>
      </w:r>
      <w:r>
        <w:rPr>
          <w:i/>
          <w:iCs/>
        </w:rPr>
        <w:t xml:space="preserve">) </w:t>
      </w:r>
      <w:r>
        <w:rPr>
          <w:i/>
          <w:iCs/>
        </w:rPr>
        <w:t>в целях обеспечения тепло</w:t>
      </w:r>
      <w:r>
        <w:rPr>
          <w:i/>
          <w:iCs/>
        </w:rPr>
        <w:t xml:space="preserve">-, </w:t>
      </w:r>
      <w:r>
        <w:rPr>
          <w:i/>
          <w:iCs/>
        </w:rPr>
        <w:t>водоснабжения</w:t>
      </w:r>
      <w:r>
        <w:rPr>
          <w:i/>
          <w:iCs/>
        </w:rPr>
        <w:t xml:space="preserve">, </w:t>
      </w:r>
      <w:r>
        <w:rPr>
          <w:i/>
          <w:iCs/>
        </w:rPr>
        <w:t>водоотведения и очистки сточных вод</w:t>
      </w:r>
      <w:r>
        <w:rPr>
          <w:i/>
          <w:iCs/>
        </w:rPr>
        <w:t xml:space="preserve">, и (или) </w:t>
      </w:r>
      <w:r>
        <w:rPr>
          <w:i/>
          <w:iCs/>
        </w:rPr>
        <w:t>осуществляющее эксплуатацию объектов</w:t>
      </w:r>
      <w:r>
        <w:rPr>
          <w:i/>
          <w:iCs/>
        </w:rPr>
        <w:t xml:space="preserve">, </w:t>
      </w:r>
      <w:r>
        <w:rPr>
          <w:i/>
          <w:iCs/>
        </w:rPr>
        <w:t xml:space="preserve">используемых для утилизации </w:t>
      </w:r>
      <w:r>
        <w:rPr>
          <w:i/>
          <w:iCs/>
        </w:rPr>
        <w:t>(</w:t>
      </w:r>
      <w:r>
        <w:rPr>
          <w:i/>
          <w:iCs/>
        </w:rPr>
        <w:t>захоронения</w:t>
      </w:r>
      <w:r>
        <w:rPr>
          <w:i/>
          <w:iCs/>
        </w:rPr>
        <w:t xml:space="preserve">) </w:t>
      </w:r>
      <w:r>
        <w:rPr>
          <w:i/>
          <w:iCs/>
        </w:rPr>
        <w:t>твердых бытовых отходов</w:t>
      </w:r>
      <w:r w:rsidRPr="00B513D0">
        <w:rPr>
          <w:i/>
          <w:iCs/>
        </w:rPr>
        <w:t>»</w:t>
      </w:r>
      <w:r>
        <w:t>.</w:t>
      </w:r>
    </w:p>
    <w:p w:rsidR="005F7A18" w:rsidRDefault="00C66FF2">
      <w:pPr>
        <w:pStyle w:val="a6"/>
        <w:ind w:firstLine="1134"/>
        <w:jc w:val="both"/>
      </w:pPr>
      <w:r>
        <w:t>При</w:t>
      </w:r>
      <w:r>
        <w:t xml:space="preserve"> этом согласно пп.1</w:t>
      </w:r>
      <w:r>
        <w:t xml:space="preserve"> п. 2 ст. 170</w:t>
      </w:r>
      <w:r>
        <w:t xml:space="preserve"> Налогового Кодекса суммы налога на добавленную стоимость по коммунальным услугам</w:t>
      </w:r>
      <w:r>
        <w:t xml:space="preserve">, </w:t>
      </w:r>
      <w:r>
        <w:t xml:space="preserve">предъявленные </w:t>
      </w:r>
      <w:r>
        <w:rPr>
          <w:u w:val="single"/>
        </w:rPr>
        <w:t>управляющим организациям</w:t>
      </w:r>
      <w:r>
        <w:t xml:space="preserve"> и ТСЖ организациями коммунального комплекса</w:t>
      </w:r>
      <w:r>
        <w:t xml:space="preserve">, </w:t>
      </w:r>
      <w:r>
        <w:t xml:space="preserve">поставщиками электрической энергии и газоснабжающими </w:t>
      </w:r>
      <w:r>
        <w:t>организациями</w:t>
      </w:r>
      <w:r>
        <w:t xml:space="preserve">, </w:t>
      </w:r>
      <w:r>
        <w:t>включаются управляющими организациями и ТСЖ в стоимость коммунальных услуг и вычету не подлежат</w:t>
      </w:r>
      <w:r>
        <w:t>.</w:t>
      </w:r>
    </w:p>
    <w:p w:rsidR="005F7A18" w:rsidRDefault="00C66FF2">
      <w:pPr>
        <w:pStyle w:val="a6"/>
        <w:ind w:firstLine="1134"/>
        <w:jc w:val="both"/>
      </w:pPr>
      <w:r>
        <w:t>Т.е. от налогообложения налогом на добавленную стоимость освобождается предоставление коммунальных услуг управляющими организациями и ТСЖ по сто</w:t>
      </w:r>
      <w:r>
        <w:t>имости</w:t>
      </w:r>
      <w:r>
        <w:t xml:space="preserve">, </w:t>
      </w:r>
      <w:r>
        <w:t>соответствующей стоимости приобретения этих коммунальных услуг</w:t>
      </w:r>
      <w:r>
        <w:t xml:space="preserve">, </w:t>
      </w:r>
      <w:r>
        <w:rPr>
          <w:u w:val="single"/>
        </w:rPr>
        <w:t>в том числе с учетом налога на добавленную стоимость</w:t>
      </w:r>
      <w:r>
        <w:t xml:space="preserve">, </w:t>
      </w:r>
      <w:r>
        <w:t>у организаций коммунального комплекса</w:t>
      </w:r>
      <w:r>
        <w:t xml:space="preserve">, </w:t>
      </w:r>
      <w:r>
        <w:t>поставщиков электрической энергии и газоснабжающих организаций</w:t>
      </w:r>
      <w:r>
        <w:t>.</w:t>
      </w:r>
      <w:r>
        <w:t xml:space="preserve"> </w:t>
      </w:r>
    </w:p>
    <w:p w:rsidR="005F7A18" w:rsidRDefault="00C66FF2">
      <w:pPr>
        <w:pStyle w:val="a6"/>
        <w:ind w:firstLine="1134"/>
        <w:jc w:val="both"/>
      </w:pPr>
      <w:r>
        <w:lastRenderedPageBreak/>
        <w:t xml:space="preserve">При этом работы </w:t>
      </w:r>
      <w:r>
        <w:t xml:space="preserve">(услуги) </w:t>
      </w:r>
      <w:r>
        <w:t>п</w:t>
      </w:r>
      <w:r>
        <w:t>о содержанию и ремонту общего имущества в многоквартирном доме и коммунальные услуги</w:t>
      </w:r>
      <w:r>
        <w:t xml:space="preserve">, </w:t>
      </w:r>
      <w:r>
        <w:t>реализуемые управляющ</w:t>
      </w:r>
      <w:r>
        <w:rPr>
          <w:u w:val="single"/>
        </w:rPr>
        <w:t>им</w:t>
      </w:r>
      <w:r>
        <w:t xml:space="preserve"> организаци</w:t>
      </w:r>
      <w:r>
        <w:rPr>
          <w:u w:val="single"/>
        </w:rPr>
        <w:t>ям</w:t>
      </w:r>
      <w:r>
        <w:t xml:space="preserve">, </w:t>
      </w:r>
      <w:r>
        <w:t>организациями и индивидуальными предпринимателями</w:t>
      </w:r>
      <w:r>
        <w:t xml:space="preserve">, </w:t>
      </w:r>
      <w:r>
        <w:t xml:space="preserve">непосредственно выполняющими </w:t>
      </w:r>
      <w:r>
        <w:t>(</w:t>
      </w:r>
      <w:r>
        <w:t>оказывающими</w:t>
      </w:r>
      <w:r>
        <w:t xml:space="preserve">) </w:t>
      </w:r>
      <w:r>
        <w:t xml:space="preserve">данные работы </w:t>
      </w:r>
      <w:r>
        <w:t xml:space="preserve">(услуги), </w:t>
      </w:r>
      <w:r>
        <w:t>от налогообло</w:t>
      </w:r>
      <w:r>
        <w:t xml:space="preserve">жения налогом на добавленную стоимость </w:t>
      </w:r>
      <w:r>
        <w:rPr>
          <w:u w:val="single"/>
        </w:rPr>
        <w:t>не освобождены</w:t>
      </w:r>
      <w:r>
        <w:t>.</w:t>
      </w:r>
      <w:r>
        <w:t xml:space="preserve"> Также </w:t>
      </w:r>
      <w:r>
        <w:t xml:space="preserve">Письмом Минфина РФ от 23.12.2009 N 03-07-15/169 </w:t>
      </w:r>
      <w:r>
        <w:t>разъяснено</w:t>
      </w:r>
      <w:r>
        <w:t xml:space="preserve">, </w:t>
      </w:r>
      <w:r>
        <w:t>что услуги</w:t>
      </w:r>
      <w:r>
        <w:t xml:space="preserve">, </w:t>
      </w:r>
      <w:r>
        <w:t xml:space="preserve">оказываемые собственными силами управляющих компаний </w:t>
      </w:r>
      <w:proofErr w:type="gramStart"/>
      <w:r>
        <w:t>от НДС</w:t>
      </w:r>
      <w:proofErr w:type="gramEnd"/>
      <w:r>
        <w:t xml:space="preserve"> не освобождаются</w:t>
      </w:r>
      <w:r>
        <w:t>.</w:t>
      </w:r>
      <w:r>
        <w:t xml:space="preserve"> </w:t>
      </w:r>
    </w:p>
    <w:p w:rsidR="005F7A18" w:rsidRDefault="00C66FF2">
      <w:pPr>
        <w:pStyle w:val="a6"/>
        <w:ind w:firstLine="1134"/>
        <w:jc w:val="both"/>
      </w:pPr>
      <w:r>
        <w:t>Учитывая вышеизложенное, законодательно пред</w:t>
      </w:r>
      <w:r>
        <w:t>усмотрено, что при реализации услуг непосредственными поставщиками услуг самой управляющей компании НДС подлежит уплате, но при этом управляющая компания имеет право включить сумму уплаченного НДС в счет за коммунальные услуги, выставляемые ей гражданам. И</w:t>
      </w:r>
      <w:r>
        <w:t>менно по этой причине коммунальные услуги и работы по содержанию и ремонту, предоставляемые управляющими компаниями при условии приобретении их у непосредственных поставщиков освобождаются от уплаты НДС, т.к. в противном случае эти услуги для граждан облаг</w:t>
      </w:r>
      <w:r>
        <w:t>ались бы НДС неоднократно.</w:t>
      </w:r>
    </w:p>
    <w:p w:rsidR="005F7A18" w:rsidRDefault="00C66FF2">
      <w:pPr>
        <w:pStyle w:val="a6"/>
        <w:ind w:firstLine="1134"/>
        <w:jc w:val="both"/>
      </w:pPr>
      <w:r>
        <w:t xml:space="preserve">Например, если бы </w:t>
      </w:r>
      <w:proofErr w:type="gramStart"/>
      <w:r>
        <w:t>услуги</w:t>
      </w:r>
      <w:proofErr w:type="gramEnd"/>
      <w:r>
        <w:t xml:space="preserve"> полученные от непосредственных поставщиков и предоставляемые УК гражданам не освобождались от НДС, то ситуация бы выглядела следующим образом</w:t>
      </w:r>
      <w:r w:rsidRPr="00B513D0">
        <w:t xml:space="preserve">: </w:t>
      </w:r>
    </w:p>
    <w:p w:rsidR="005F7A18" w:rsidRDefault="00C66FF2">
      <w:pPr>
        <w:pStyle w:val="a6"/>
        <w:ind w:firstLine="1134"/>
        <w:jc w:val="both"/>
      </w:pPr>
      <w:r>
        <w:t xml:space="preserve">К примеру стоимость 1 </w:t>
      </w:r>
      <w:proofErr w:type="spellStart"/>
      <w:r>
        <w:t>кв</w:t>
      </w:r>
      <w:proofErr w:type="spellEnd"/>
      <w:r w:rsidRPr="00B513D0">
        <w:t>/</w:t>
      </w:r>
      <w:r>
        <w:t>т электроэнергии реализуемой Мосэне</w:t>
      </w:r>
      <w:r>
        <w:t xml:space="preserve">рго стоит 1 рубль, Мосэнерго реализует его УК и согласно положениям НК РФ, в данном случае НДС подлежит уплате, т.е. УК платит за него 1,18 руб. Затем УК может </w:t>
      </w:r>
      <w:proofErr w:type="spellStart"/>
      <w:r>
        <w:t>перевыставить</w:t>
      </w:r>
      <w:proofErr w:type="spellEnd"/>
      <w:r>
        <w:t xml:space="preserve"> эту стоимость жителям включив НДС в стоимость услуг, указав в квитанции к оплате 1</w:t>
      </w:r>
      <w:r>
        <w:t xml:space="preserve">,18 рублей, но не имеет права добавить еще 18 % НДС на эту сумму, так как 1,18 рублей освобождаются от уплаты НДС в силу положений НК. </w:t>
      </w:r>
    </w:p>
    <w:p w:rsidR="005F7A18" w:rsidRDefault="00C66FF2">
      <w:pPr>
        <w:pStyle w:val="a6"/>
        <w:ind w:firstLine="1134"/>
        <w:jc w:val="both"/>
      </w:pPr>
      <w:r>
        <w:t>Единственной причиной, по которой в этом случае УК имела бы законное право начислить 18% НДС на стоимость услуг в 1,18 р</w:t>
      </w:r>
      <w:r>
        <w:t>ублей могло бы быть заявление УК в налоговый орган об отказе от освобождения согласно п.5 ст.149.</w:t>
      </w:r>
    </w:p>
    <w:p w:rsidR="005F7A18" w:rsidRDefault="00C66FF2">
      <w:pPr>
        <w:pStyle w:val="a6"/>
        <w:ind w:firstLine="1134"/>
        <w:jc w:val="both"/>
      </w:pPr>
      <w:r>
        <w:t>Как следует из Вашего ответа УК подобного заявления не подавала, а причиной выставления жителям счетов на коммунальные услуги и услуги по содержанию и ремонту</w:t>
      </w:r>
      <w:r>
        <w:t xml:space="preserve"> является то, что УК заключила договоры на оказание услуг с некими посредниками, данные о которых не представлены. </w:t>
      </w:r>
    </w:p>
    <w:p w:rsidR="005F7A18" w:rsidRDefault="00C66FF2">
      <w:pPr>
        <w:pStyle w:val="a6"/>
        <w:ind w:firstLine="1134"/>
        <w:jc w:val="both"/>
      </w:pPr>
      <w:r>
        <w:t>Таким образом, возвращаясь к примеру, приведенному выше, жители МФК «Фили Град» оплачивая квитанции, представленные УК «МАТОРИН-РУК» уплачив</w:t>
      </w:r>
      <w:r>
        <w:t>ают НДС многократно</w:t>
      </w:r>
      <w:r w:rsidRPr="00B513D0">
        <w:t xml:space="preserve">: </w:t>
      </w:r>
      <w:r>
        <w:t>НДС, уплаченный УК и включенный в стоимость, а также НДС начисленный УК</w:t>
      </w:r>
      <w:r w:rsidRPr="00B513D0">
        <w:t xml:space="preserve">. </w:t>
      </w:r>
      <w:r>
        <w:t xml:space="preserve">Так как ответ ООО «МАТОРИН-РУК» не содержит информацию о том, приобретают ли указанные посредники услуги напрямую у поставщиков, на данный момент жителям неясно, </w:t>
      </w:r>
      <w:r>
        <w:t xml:space="preserve">сколько именно раз, НДС включается в стоимость при </w:t>
      </w:r>
      <w:proofErr w:type="spellStart"/>
      <w:r>
        <w:t>перевыставлении</w:t>
      </w:r>
      <w:proofErr w:type="spellEnd"/>
      <w:r>
        <w:t xml:space="preserve"> счета, увеличива</w:t>
      </w:r>
      <w:r w:rsidR="00B513D0">
        <w:t>я стоимость оплачиваемых услуг.</w:t>
      </w:r>
    </w:p>
    <w:p w:rsidR="005F7A18" w:rsidRDefault="005F7A18">
      <w:pPr>
        <w:pStyle w:val="a6"/>
        <w:ind w:firstLine="1134"/>
        <w:jc w:val="both"/>
      </w:pPr>
    </w:p>
    <w:p w:rsidR="005F7A18" w:rsidRDefault="00C66FF2">
      <w:pPr>
        <w:pStyle w:val="a6"/>
        <w:ind w:firstLine="1134"/>
        <w:jc w:val="both"/>
      </w:pPr>
      <w:r>
        <w:t>Учитывая вышеизложенное просим Вас</w:t>
      </w:r>
      <w:r>
        <w:rPr>
          <w:lang w:val="en-US"/>
        </w:rPr>
        <w:t>:</w:t>
      </w:r>
    </w:p>
    <w:p w:rsidR="005F7A18" w:rsidRDefault="00C66FF2">
      <w:pPr>
        <w:pStyle w:val="a6"/>
        <w:numPr>
          <w:ilvl w:val="0"/>
          <w:numId w:val="2"/>
        </w:numPr>
        <w:jc w:val="both"/>
      </w:pPr>
      <w:r>
        <w:t xml:space="preserve">предоставить подробное обоснование причин, по которым ООО «МАТОРИН-РУК» заключило договоры с </w:t>
      </w:r>
      <w:r>
        <w:t>организациями посредниками вместо заключения договоров с непосредственными поставщиками услуг</w:t>
      </w:r>
      <w:r w:rsidRPr="00B513D0">
        <w:t>;</w:t>
      </w:r>
    </w:p>
    <w:p w:rsidR="005F7A18" w:rsidRDefault="00C66FF2">
      <w:pPr>
        <w:pStyle w:val="a6"/>
        <w:numPr>
          <w:ilvl w:val="0"/>
          <w:numId w:val="2"/>
        </w:numPr>
        <w:jc w:val="both"/>
      </w:pPr>
      <w:r>
        <w:t>представить список посредников, с которыми у ООО «МАТОРИН-РУК» заключены договоры, а также информацию о стоимости услуг, по которой посредники оказывают услуги О</w:t>
      </w:r>
      <w:r>
        <w:t>ОО «МАТОРИН-РУК»</w:t>
      </w:r>
      <w:r w:rsidRPr="00B513D0">
        <w:t>;</w:t>
      </w:r>
    </w:p>
    <w:p w:rsidR="005F7A18" w:rsidRDefault="00C66FF2">
      <w:pPr>
        <w:pStyle w:val="a6"/>
        <w:numPr>
          <w:ilvl w:val="0"/>
          <w:numId w:val="2"/>
        </w:numPr>
        <w:jc w:val="both"/>
      </w:pPr>
      <w:r>
        <w:t>сообщить, есть ли среди услуг, за которые выставляются квитанции, услуги, оказываемые самим ООО «МАТОРИН-РУК»</w:t>
      </w:r>
      <w:r w:rsidRPr="00B513D0">
        <w:t>;</w:t>
      </w:r>
    </w:p>
    <w:p w:rsidR="005F7A18" w:rsidRDefault="00C66FF2">
      <w:pPr>
        <w:pStyle w:val="a6"/>
        <w:numPr>
          <w:ilvl w:val="0"/>
          <w:numId w:val="2"/>
        </w:numPr>
        <w:jc w:val="both"/>
      </w:pPr>
      <w:r>
        <w:t>изменить форму квитанций, представляемых жителям, сделав разбивку по видам услуг и тарифам по каждой услуге</w:t>
      </w:r>
      <w:r w:rsidRPr="00B513D0">
        <w:t>;</w:t>
      </w:r>
    </w:p>
    <w:p w:rsidR="005F7A18" w:rsidRDefault="00C66FF2">
      <w:pPr>
        <w:pStyle w:val="a6"/>
        <w:ind w:firstLine="1134"/>
        <w:jc w:val="both"/>
      </w:pPr>
      <w:r w:rsidRPr="00B513D0">
        <w:t>5</w:t>
      </w:r>
      <w:r>
        <w:t>) рассмотреть воп</w:t>
      </w:r>
      <w:r>
        <w:t>рос об изменении ситуации и заключении договоров на оказание коммунальных услуги и услуг по содержанию и ремонту с непосредственными поставщиками.</w:t>
      </w:r>
    </w:p>
    <w:p w:rsidR="005F7A18" w:rsidRDefault="005F7A18">
      <w:pPr>
        <w:pStyle w:val="a6"/>
        <w:ind w:firstLine="1134"/>
        <w:jc w:val="both"/>
      </w:pPr>
    </w:p>
    <w:p w:rsidR="00B513D0" w:rsidRDefault="00B513D0">
      <w:pPr>
        <w:pStyle w:val="a6"/>
        <w:ind w:firstLine="1134"/>
        <w:jc w:val="both"/>
      </w:pPr>
    </w:p>
    <w:p w:rsidR="005F7A18" w:rsidRDefault="00C66FF2" w:rsidP="00B513D0">
      <w:pPr>
        <w:pStyle w:val="a6"/>
        <w:ind w:firstLine="1134"/>
        <w:jc w:val="both"/>
      </w:pPr>
      <w:r>
        <w:t>С уважением, жители МФК «Фили Град»</w:t>
      </w:r>
      <w:bookmarkStart w:id="0" w:name="_GoBack"/>
      <w:bookmarkEnd w:id="0"/>
    </w:p>
    <w:sectPr w:rsidR="005F7A18">
      <w:headerReference w:type="default" r:id="rId7"/>
      <w:footerReference w:type="default" r:id="rId8"/>
      <w:pgSz w:w="11906" w:h="16838"/>
      <w:pgMar w:top="1134" w:right="1134" w:bottom="1134" w:left="1134" w:header="709" w:footer="8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6FF2" w:rsidRDefault="00C66FF2">
      <w:r>
        <w:separator/>
      </w:r>
    </w:p>
  </w:endnote>
  <w:endnote w:type="continuationSeparator" w:id="0">
    <w:p w:rsidR="00C66FF2" w:rsidRDefault="00C66F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7A18" w:rsidRDefault="005F7A18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6FF2" w:rsidRDefault="00C66FF2">
      <w:r>
        <w:separator/>
      </w:r>
    </w:p>
  </w:footnote>
  <w:footnote w:type="continuationSeparator" w:id="0">
    <w:p w:rsidR="00C66FF2" w:rsidRDefault="00C66F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7A18" w:rsidRDefault="005F7A18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FC5C2A"/>
    <w:multiLevelType w:val="hybridMultilevel"/>
    <w:tmpl w:val="B2B696C4"/>
    <w:numStyleLink w:val="a"/>
  </w:abstractNum>
  <w:abstractNum w:abstractNumId="1" w15:restartNumberingAfterBreak="0">
    <w:nsid w:val="4CFA518A"/>
    <w:multiLevelType w:val="hybridMultilevel"/>
    <w:tmpl w:val="B2B696C4"/>
    <w:styleLink w:val="a"/>
    <w:lvl w:ilvl="0" w:tplc="7A6CF8E4">
      <w:start w:val="1"/>
      <w:numFmt w:val="decimal"/>
      <w:lvlText w:val="%1)"/>
      <w:lvlJc w:val="left"/>
      <w:pPr>
        <w:tabs>
          <w:tab w:val="num" w:pos="1494"/>
        </w:tabs>
        <w:ind w:left="360" w:firstLine="7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3BE44A2">
      <w:start w:val="1"/>
      <w:numFmt w:val="decimal"/>
      <w:lvlText w:val="%2)"/>
      <w:lvlJc w:val="left"/>
      <w:pPr>
        <w:tabs>
          <w:tab w:val="num" w:pos="1854"/>
        </w:tabs>
        <w:ind w:left="720" w:firstLine="7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70503C38">
      <w:start w:val="1"/>
      <w:numFmt w:val="decimal"/>
      <w:lvlText w:val="%3)"/>
      <w:lvlJc w:val="left"/>
      <w:pPr>
        <w:tabs>
          <w:tab w:val="num" w:pos="2214"/>
        </w:tabs>
        <w:ind w:left="1080" w:firstLine="7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A2DA1BD4">
      <w:start w:val="1"/>
      <w:numFmt w:val="decimal"/>
      <w:lvlText w:val="%4)"/>
      <w:lvlJc w:val="left"/>
      <w:pPr>
        <w:tabs>
          <w:tab w:val="num" w:pos="2574"/>
        </w:tabs>
        <w:ind w:left="1440" w:firstLine="7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07268388">
      <w:start w:val="1"/>
      <w:numFmt w:val="decimal"/>
      <w:lvlText w:val="%5)"/>
      <w:lvlJc w:val="left"/>
      <w:pPr>
        <w:tabs>
          <w:tab w:val="num" w:pos="2934"/>
        </w:tabs>
        <w:ind w:left="1800" w:firstLine="7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F6ED61E">
      <w:start w:val="1"/>
      <w:numFmt w:val="decimal"/>
      <w:lvlText w:val="%6)"/>
      <w:lvlJc w:val="left"/>
      <w:pPr>
        <w:tabs>
          <w:tab w:val="num" w:pos="3294"/>
        </w:tabs>
        <w:ind w:left="2160" w:firstLine="7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46CF024">
      <w:start w:val="1"/>
      <w:numFmt w:val="decimal"/>
      <w:lvlText w:val="%7)"/>
      <w:lvlJc w:val="left"/>
      <w:pPr>
        <w:tabs>
          <w:tab w:val="num" w:pos="3654"/>
        </w:tabs>
        <w:ind w:left="2520" w:firstLine="7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31C4771A">
      <w:start w:val="1"/>
      <w:numFmt w:val="decimal"/>
      <w:lvlText w:val="%8)"/>
      <w:lvlJc w:val="left"/>
      <w:pPr>
        <w:tabs>
          <w:tab w:val="num" w:pos="4014"/>
        </w:tabs>
        <w:ind w:left="2880" w:firstLine="7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49AF2E4">
      <w:start w:val="1"/>
      <w:numFmt w:val="decimal"/>
      <w:lvlText w:val="%9)"/>
      <w:lvlJc w:val="left"/>
      <w:pPr>
        <w:tabs>
          <w:tab w:val="num" w:pos="4374"/>
        </w:tabs>
        <w:ind w:left="3240" w:firstLine="7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7A18"/>
    <w:rsid w:val="005F7A18"/>
    <w:rsid w:val="00B513D0"/>
    <w:rsid w:val="00C66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2D0FE1"/>
  <w15:docId w15:val="{6EDAA20E-B32C-4D66-8DCF-8F2E3C9F8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rPr>
      <w:sz w:val="24"/>
      <w:szCs w:val="24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5">
    <w:name w:val="Текстовый блок"/>
    <w:pPr>
      <w:ind w:firstLine="1134"/>
      <w:jc w:val="both"/>
    </w:pPr>
    <w:rPr>
      <w:rFonts w:ascii="Helvetica" w:hAnsi="Helvetica" w:cs="Arial Unicode MS"/>
      <w:color w:val="000000"/>
      <w:sz w:val="22"/>
      <w:szCs w:val="22"/>
    </w:rPr>
  </w:style>
  <w:style w:type="paragraph" w:customStyle="1" w:styleId="a6">
    <w:name w:val="По умолчанию"/>
    <w:rPr>
      <w:rFonts w:ascii="Helvetica" w:hAnsi="Helvetica" w:cs="Arial Unicode MS"/>
      <w:color w:val="000000"/>
      <w:sz w:val="22"/>
      <w:szCs w:val="22"/>
    </w:rPr>
  </w:style>
  <w:style w:type="numbering" w:customStyle="1" w:styleId="a">
    <w:name w:val="С буквами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719999" algn="just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1093</Words>
  <Characters>6235</Characters>
  <Application>Microsoft Office Word</Application>
  <DocSecurity>0</DocSecurity>
  <Lines>51</Lines>
  <Paragraphs>14</Paragraphs>
  <ScaleCrop>false</ScaleCrop>
  <Company>ПАО "РАО ЭС Востока"</Company>
  <LinksUpToDate>false</LinksUpToDate>
  <CharactersWithSpaces>7314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Радаева Алла Сергеевна</cp:lastModifiedBy>
  <cp:revision>2</cp:revision>
  <dcterms:created xsi:type="dcterms:W3CDTF">2016-08-03T07:40:00Z</dcterms:created>
  <dcterms:modified xsi:type="dcterms:W3CDTF">2016-08-03T07:41:00Z</dcterms:modified>
</cp:coreProperties>
</file>